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FD" w:rsidRDefault="00DD1153">
      <w:pPr>
        <w:rPr>
          <w:noProof/>
          <w:lang w:eastAsia="sv-S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64574A3" wp14:editId="01983C74">
            <wp:extent cx="5895278" cy="695325"/>
            <wp:effectExtent l="0" t="0" r="0" b="0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8" b="17949"/>
                    <a:stretch/>
                  </pic:blipFill>
                  <pic:spPr bwMode="auto">
                    <a:xfrm>
                      <a:off x="0" y="0"/>
                      <a:ext cx="5960199" cy="70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7A19" w:rsidRDefault="007E7A19" w:rsidP="00DD1153">
      <w:pPr>
        <w:pStyle w:val="Ingetavstnd"/>
        <w:rPr>
          <w:sz w:val="32"/>
        </w:rPr>
      </w:pPr>
    </w:p>
    <w:p w:rsidR="00E00239" w:rsidRDefault="004C24DA" w:rsidP="00DD1153">
      <w:pPr>
        <w:pStyle w:val="Ingetavstnd"/>
        <w:rPr>
          <w:sz w:val="32"/>
        </w:rPr>
      </w:pPr>
      <w:r>
        <w:rPr>
          <w:sz w:val="32"/>
        </w:rPr>
        <w:t>I</w:t>
      </w:r>
      <w:r w:rsidR="00DD1153" w:rsidRPr="00E00239">
        <w:rPr>
          <w:sz w:val="32"/>
        </w:rPr>
        <w:t xml:space="preserve">nsikter, kunskaper och verktyg </w:t>
      </w:r>
      <w:r w:rsidR="003A65EB">
        <w:rPr>
          <w:sz w:val="32"/>
        </w:rPr>
        <w:t xml:space="preserve">som </w:t>
      </w:r>
      <w:r>
        <w:rPr>
          <w:sz w:val="32"/>
        </w:rPr>
        <w:t xml:space="preserve">stärker </w:t>
      </w:r>
      <w:r w:rsidR="00E00239" w:rsidRPr="00E00239">
        <w:rPr>
          <w:sz w:val="32"/>
        </w:rPr>
        <w:t>deltagarna</w:t>
      </w:r>
      <w:r>
        <w:rPr>
          <w:sz w:val="32"/>
        </w:rPr>
        <w:t xml:space="preserve"> </w:t>
      </w:r>
      <w:r w:rsidR="00DD1153" w:rsidRPr="00E00239">
        <w:rPr>
          <w:sz w:val="32"/>
        </w:rPr>
        <w:t xml:space="preserve">i </w:t>
      </w:r>
      <w:r>
        <w:rPr>
          <w:sz w:val="32"/>
        </w:rPr>
        <w:t xml:space="preserve">deras </w:t>
      </w:r>
      <w:r w:rsidR="00DD1153" w:rsidRPr="00E00239">
        <w:rPr>
          <w:sz w:val="32"/>
        </w:rPr>
        <w:t xml:space="preserve">roll </w:t>
      </w:r>
      <w:r w:rsidR="003A65EB">
        <w:rPr>
          <w:sz w:val="32"/>
        </w:rPr>
        <w:t xml:space="preserve">som </w:t>
      </w:r>
      <w:r w:rsidR="00DD1153" w:rsidRPr="00E00239">
        <w:rPr>
          <w:sz w:val="32"/>
        </w:rPr>
        <w:t xml:space="preserve">samarbetspart och leverantör av nytta till verksamheten. </w:t>
      </w:r>
    </w:p>
    <w:p w:rsidR="00E00239" w:rsidRPr="003A65EB" w:rsidRDefault="00E00239" w:rsidP="00DD1153">
      <w:pPr>
        <w:pStyle w:val="Ingetavstnd"/>
        <w:rPr>
          <w:sz w:val="24"/>
        </w:rPr>
      </w:pPr>
    </w:p>
    <w:p w:rsidR="001555B7" w:rsidRDefault="004C24DA" w:rsidP="001555B7">
      <w:pPr>
        <w:pStyle w:val="Ingetavstnd"/>
      </w:pPr>
      <w:r>
        <w:t xml:space="preserve">IT </w:t>
      </w:r>
      <w:r w:rsidR="00E00239" w:rsidRPr="00E00239">
        <w:t>Affärsskolan</w:t>
      </w:r>
      <w:r>
        <w:t xml:space="preserve"> </w:t>
      </w:r>
      <w:r w:rsidR="00DD1153">
        <w:t>utveckla</w:t>
      </w:r>
      <w:r>
        <w:t>r</w:t>
      </w:r>
      <w:r w:rsidR="00DD1153">
        <w:t xml:space="preserve"> </w:t>
      </w:r>
      <w:r>
        <w:t>varje deltagare</w:t>
      </w:r>
      <w:r w:rsidR="00C701E1">
        <w:t>s</w:t>
      </w:r>
      <w:r w:rsidR="003A65EB">
        <w:t xml:space="preserve"> </w:t>
      </w:r>
      <w:r w:rsidR="00DD1153">
        <w:t xml:space="preserve">affärsmannaskap och </w:t>
      </w:r>
      <w:r>
        <w:t xml:space="preserve">lägger samtidigt </w:t>
      </w:r>
      <w:r w:rsidR="00DD1153">
        <w:t>grunden för en kulturförändring så att IT verkligen kan leva upp till att vara en strategisk tillgång för hela verk</w:t>
      </w:r>
      <w:r w:rsidR="007E7A19">
        <w:t>-</w:t>
      </w:r>
      <w:r w:rsidR="00DD1153">
        <w:t>samheten.</w:t>
      </w:r>
      <w:r>
        <w:t xml:space="preserve"> IT Affärsskolan anpassas</w:t>
      </w:r>
      <w:r w:rsidR="001555B7">
        <w:t xml:space="preserve"> </w:t>
      </w:r>
      <w:r w:rsidR="003A65EB">
        <w:t>t</w:t>
      </w:r>
      <w:r>
        <w:t xml:space="preserve">ill </w:t>
      </w:r>
      <w:r w:rsidR="001555B7">
        <w:t>varje kund</w:t>
      </w:r>
      <w:r w:rsidR="00E00239">
        <w:t xml:space="preserve">s </w:t>
      </w:r>
      <w:r w:rsidR="001555B7">
        <w:t xml:space="preserve">situation och </w:t>
      </w:r>
      <w:r>
        <w:t>levereras</w:t>
      </w:r>
      <w:r w:rsidR="001555B7">
        <w:t xml:space="preserve"> av </w:t>
      </w:r>
      <w:r w:rsidR="00E00239">
        <w:t xml:space="preserve">erfarna </w:t>
      </w:r>
      <w:r w:rsidR="001555B7">
        <w:t>BiTA</w:t>
      </w:r>
      <w:r w:rsidR="00E00239">
        <w:t xml:space="preserve">-konsulter </w:t>
      </w:r>
      <w:r>
        <w:t xml:space="preserve">vilket </w:t>
      </w:r>
      <w:r w:rsidR="00E00239">
        <w:t xml:space="preserve">borgar för </w:t>
      </w:r>
      <w:r>
        <w:t xml:space="preserve">kvalitet, </w:t>
      </w:r>
      <w:r w:rsidR="00E00239">
        <w:t xml:space="preserve">resultat och </w:t>
      </w:r>
      <w:r w:rsidR="001555B7">
        <w:t>nytta.</w:t>
      </w:r>
    </w:p>
    <w:p w:rsidR="004B7DA0" w:rsidRDefault="007E7A19" w:rsidP="001555B7">
      <w:pPr>
        <w:pStyle w:val="Ingetavstnd"/>
      </w:pPr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446EABDE" wp14:editId="64C42F06">
            <wp:simplePos x="0" y="0"/>
            <wp:positionH relativeFrom="column">
              <wp:posOffset>5091430</wp:posOffset>
            </wp:positionH>
            <wp:positionV relativeFrom="paragraph">
              <wp:posOffset>155575</wp:posOffset>
            </wp:positionV>
            <wp:extent cx="1143000" cy="2472690"/>
            <wp:effectExtent l="0" t="0" r="0" b="3810"/>
            <wp:wrapTight wrapText="bothSides">
              <wp:wrapPolygon edited="0">
                <wp:start x="0" y="0"/>
                <wp:lineTo x="0" y="21467"/>
                <wp:lineTo x="21240" y="21467"/>
                <wp:lineTo x="2124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10697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0" r="12666"/>
                    <a:stretch/>
                  </pic:blipFill>
                  <pic:spPr bwMode="auto">
                    <a:xfrm>
                      <a:off x="0" y="0"/>
                      <a:ext cx="1143000" cy="247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46FCE81" wp14:editId="6051FD48">
            <wp:simplePos x="0" y="0"/>
            <wp:positionH relativeFrom="column">
              <wp:posOffset>-443230</wp:posOffset>
            </wp:positionH>
            <wp:positionV relativeFrom="paragraph">
              <wp:posOffset>152400</wp:posOffset>
            </wp:positionV>
            <wp:extent cx="981075" cy="2523490"/>
            <wp:effectExtent l="0" t="0" r="9525" b="0"/>
            <wp:wrapTight wrapText="bothSides">
              <wp:wrapPolygon edited="0">
                <wp:start x="0" y="0"/>
                <wp:lineTo x="0" y="21361"/>
                <wp:lineTo x="21390" y="21361"/>
                <wp:lineTo x="21390" y="0"/>
                <wp:lineTo x="0" y="0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11883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97" r="22904"/>
                    <a:stretch/>
                  </pic:blipFill>
                  <pic:spPr bwMode="auto">
                    <a:xfrm>
                      <a:off x="0" y="0"/>
                      <a:ext cx="981075" cy="252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5B7" w:rsidRPr="006F3759" w:rsidRDefault="004C24DA" w:rsidP="001555B7">
      <w:pPr>
        <w:pStyle w:val="Ingetavstnd"/>
        <w:rPr>
          <w:i/>
          <w:sz w:val="24"/>
        </w:rPr>
      </w:pPr>
      <w:r>
        <w:rPr>
          <w:i/>
          <w:sz w:val="24"/>
        </w:rPr>
        <w:t>Exempel på i</w:t>
      </w:r>
      <w:r w:rsidR="001555B7" w:rsidRPr="006F3759">
        <w:rPr>
          <w:i/>
          <w:sz w:val="24"/>
        </w:rPr>
        <w:t>nnehå</w:t>
      </w:r>
      <w:r>
        <w:rPr>
          <w:i/>
          <w:sz w:val="24"/>
        </w:rPr>
        <w:t>l</w:t>
      </w:r>
      <w:r w:rsidR="001555B7" w:rsidRPr="006F3759">
        <w:rPr>
          <w:i/>
          <w:sz w:val="24"/>
        </w:rPr>
        <w:t>l</w:t>
      </w:r>
      <w:r>
        <w:rPr>
          <w:i/>
          <w:sz w:val="24"/>
        </w:rPr>
        <w:t>srubriker:</w:t>
      </w:r>
    </w:p>
    <w:p w:rsidR="007E7A19" w:rsidRDefault="007E7A19" w:rsidP="001555B7">
      <w:pPr>
        <w:pStyle w:val="Ingetavstnd"/>
        <w:rPr>
          <w:sz w:val="12"/>
        </w:rPr>
        <w:sectPr w:rsidR="007E7A19" w:rsidSect="00DD1153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1555B7" w:rsidRPr="003A65EB" w:rsidRDefault="001555B7" w:rsidP="001555B7">
      <w:pPr>
        <w:pStyle w:val="Ingetavstnd"/>
        <w:rPr>
          <w:sz w:val="12"/>
        </w:rPr>
      </w:pPr>
    </w:p>
    <w:p w:rsidR="003A65EB" w:rsidRPr="003A65EB" w:rsidRDefault="003A65EB" w:rsidP="001555B7">
      <w:pPr>
        <w:pStyle w:val="Ingetavstnd"/>
        <w:numPr>
          <w:ilvl w:val="0"/>
          <w:numId w:val="1"/>
        </w:numPr>
        <w:rPr>
          <w:sz w:val="12"/>
        </w:rPr>
        <w:sectPr w:rsidR="003A65EB" w:rsidRPr="003A65EB" w:rsidSect="007E7A19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1555B7" w:rsidRDefault="003A65EB" w:rsidP="007E7A19">
      <w:pPr>
        <w:pStyle w:val="Ingetavstnd"/>
        <w:numPr>
          <w:ilvl w:val="0"/>
          <w:numId w:val="3"/>
        </w:numPr>
      </w:pPr>
      <w:r>
        <w:lastRenderedPageBreak/>
        <w:t xml:space="preserve">Marknadsföring och </w:t>
      </w:r>
      <w:r w:rsidR="001555B7">
        <w:t>säljteknik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Personliga presentationer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Argumentationsteknik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Förhandlingsteknik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Företagsekonomi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Affärsjuridik och avtal</w:t>
      </w:r>
    </w:p>
    <w:p w:rsidR="001555B7" w:rsidRDefault="001555B7" w:rsidP="007E7A19">
      <w:pPr>
        <w:pStyle w:val="Ingetavstnd"/>
      </w:pPr>
    </w:p>
    <w:p w:rsidR="001555B7" w:rsidRDefault="001555B7" w:rsidP="007E7A19">
      <w:pPr>
        <w:pStyle w:val="Ingetavstnd"/>
        <w:numPr>
          <w:ilvl w:val="0"/>
          <w:numId w:val="3"/>
        </w:numPr>
      </w:pPr>
      <w:r>
        <w:lastRenderedPageBreak/>
        <w:t>Kommunikation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Verksamhetskunskap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Tjänsteorientering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Förändringsarbete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Kvalitet inom IT</w:t>
      </w:r>
    </w:p>
    <w:p w:rsidR="001555B7" w:rsidRDefault="001555B7" w:rsidP="007E7A19">
      <w:pPr>
        <w:pStyle w:val="Ingetavstnd"/>
        <w:numPr>
          <w:ilvl w:val="0"/>
          <w:numId w:val="3"/>
        </w:numPr>
      </w:pPr>
      <w:r>
        <w:t>Personlig utveckling</w:t>
      </w:r>
    </w:p>
    <w:p w:rsidR="003A65EB" w:rsidRDefault="003A65EB" w:rsidP="001555B7">
      <w:pPr>
        <w:pStyle w:val="Ingetavstnd"/>
        <w:sectPr w:rsidR="003A65EB" w:rsidSect="007E7A19">
          <w:type w:val="continuous"/>
          <w:pgSz w:w="11906" w:h="16838"/>
          <w:pgMar w:top="851" w:right="1417" w:bottom="1417" w:left="1417" w:header="708" w:footer="708" w:gutter="0"/>
          <w:cols w:num="2" w:space="286"/>
          <w:docGrid w:linePitch="360"/>
        </w:sectPr>
      </w:pPr>
    </w:p>
    <w:p w:rsidR="007E7A19" w:rsidRDefault="007E7A19" w:rsidP="004B7DA0">
      <w:pPr>
        <w:pStyle w:val="Ingetavstnd"/>
      </w:pPr>
    </w:p>
    <w:p w:rsidR="004B7DA0" w:rsidRDefault="007E7A19" w:rsidP="004B7DA0">
      <w:pPr>
        <w:pStyle w:val="Ingetavstnd"/>
      </w:pP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405E985C" wp14:editId="0807DDF6">
            <wp:simplePos x="0" y="0"/>
            <wp:positionH relativeFrom="column">
              <wp:posOffset>944245</wp:posOffset>
            </wp:positionH>
            <wp:positionV relativeFrom="paragraph">
              <wp:posOffset>704215</wp:posOffset>
            </wp:positionV>
            <wp:extent cx="2572385" cy="1828800"/>
            <wp:effectExtent l="0" t="0" r="0" b="0"/>
            <wp:wrapTopAndBottom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DA0">
        <w:t>IT Affärsskolan genomförs under sammanlagt 6 dagar, fördelade på 2 seminariedagar vid 3 tillfällen. Seminariedagarna genomförs utanför de egna lokalerna för att ta bort störningsmomentet av att vara ”på hemmaplan”.</w:t>
      </w:r>
    </w:p>
    <w:p w:rsidR="007E7A19" w:rsidRDefault="007E7A19" w:rsidP="001555B7">
      <w:pPr>
        <w:pStyle w:val="Ingetavstnd"/>
      </w:pPr>
    </w:p>
    <w:p w:rsidR="001555B7" w:rsidRDefault="001555B7" w:rsidP="001555B7">
      <w:pPr>
        <w:pStyle w:val="Ingetavstnd"/>
      </w:pPr>
      <w:r>
        <w:t xml:space="preserve">IT Affärsskolan </w:t>
      </w:r>
      <w:r w:rsidR="004B7DA0">
        <w:t xml:space="preserve">är både en </w:t>
      </w:r>
      <w:r>
        <w:t>utbildning</w:t>
      </w:r>
      <w:r w:rsidR="004B7DA0">
        <w:t xml:space="preserve"> och en förändringsresa. Seminarieledaren, själ</w:t>
      </w:r>
      <w:r>
        <w:t xml:space="preserve">v eller via gästföreläsare, </w:t>
      </w:r>
      <w:r w:rsidR="004B7DA0">
        <w:t xml:space="preserve">levererar </w:t>
      </w:r>
      <w:r>
        <w:t xml:space="preserve">inte enbart kunskaper och insikter på ett professionellt sätt, utan </w:t>
      </w:r>
      <w:r w:rsidR="004B7DA0">
        <w:t>driver</w:t>
      </w:r>
      <w:r>
        <w:t xml:space="preserve"> </w:t>
      </w:r>
      <w:r w:rsidR="004B7DA0">
        <w:t xml:space="preserve">också </w:t>
      </w:r>
      <w:r>
        <w:t xml:space="preserve">ett förändringsarbete, d.v.s. </w:t>
      </w:r>
      <w:r w:rsidR="004B7DA0">
        <w:t>bjuder</w:t>
      </w:r>
      <w:r>
        <w:t xml:space="preserve"> in till dialog och diskussion bland deltagarna om </w:t>
      </w:r>
      <w:r w:rsidR="004B7DA0">
        <w:t>inne</w:t>
      </w:r>
      <w:r w:rsidR="007E7A19">
        <w:t>-</w:t>
      </w:r>
      <w:r w:rsidR="004B7DA0">
        <w:t xml:space="preserve">börden och </w:t>
      </w:r>
      <w:r>
        <w:t xml:space="preserve">de praktiska konsekvenserna </w:t>
      </w:r>
      <w:r w:rsidR="004B7DA0">
        <w:t>av ämnena som behandlas</w:t>
      </w:r>
      <w:r>
        <w:t>.</w:t>
      </w:r>
      <w:r w:rsidR="003A65EB">
        <w:t xml:space="preserve"> </w:t>
      </w:r>
      <w:r w:rsidR="004B7DA0">
        <w:t>IT A</w:t>
      </w:r>
      <w:r>
        <w:t>ffärsskola</w:t>
      </w:r>
      <w:r w:rsidR="004B7DA0">
        <w:t>n</w:t>
      </w:r>
      <w:r>
        <w:t xml:space="preserve"> </w:t>
      </w:r>
      <w:r w:rsidR="004B7DA0">
        <w:t>omfattar också</w:t>
      </w:r>
      <w:r>
        <w:t xml:space="preserve"> deltagarledda projektarbeten. I grupper om 2-4 personer arbetar deltagarna under semin</w:t>
      </w:r>
      <w:r w:rsidR="004B7DA0">
        <w:t>ariernas 3 kvällar med ”skarpa” projekt</w:t>
      </w:r>
      <w:r>
        <w:t xml:space="preserve"> som redovisas under sista seminariet.</w:t>
      </w:r>
    </w:p>
    <w:p w:rsidR="001555B7" w:rsidRDefault="001555B7" w:rsidP="001555B7">
      <w:pPr>
        <w:pStyle w:val="Ingetavstnd"/>
      </w:pPr>
    </w:p>
    <w:p w:rsidR="00C701E1" w:rsidRDefault="00C701E1" w:rsidP="00C701E1">
      <w:pPr>
        <w:spacing w:after="0" w:line="240" w:lineRule="auto"/>
        <w:ind w:firstLine="360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1217C2EB" wp14:editId="349D6BF7">
            <wp:simplePos x="0" y="0"/>
            <wp:positionH relativeFrom="column">
              <wp:posOffset>819150</wp:posOffset>
            </wp:positionH>
            <wp:positionV relativeFrom="paragraph">
              <wp:posOffset>102870</wp:posOffset>
            </wp:positionV>
            <wp:extent cx="1031875" cy="923925"/>
            <wp:effectExtent l="0" t="0" r="0" b="9525"/>
            <wp:wrapSquare wrapText="bothSides"/>
            <wp:docPr id="2" name="Bildobjekt 2" descr="LogoBit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Bita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1E1" w:rsidRPr="00C701E1" w:rsidRDefault="007E7A19" w:rsidP="007E7A19">
      <w:pPr>
        <w:spacing w:after="0" w:line="240" w:lineRule="auto"/>
        <w:ind w:left="1700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sz w:val="28"/>
        </w:rPr>
        <w:tab/>
      </w:r>
      <w:r w:rsidR="00C701E1" w:rsidRPr="00C701E1">
        <w:rPr>
          <w:rFonts w:ascii="Calibri" w:eastAsia="Calibri" w:hAnsi="Calibri" w:cs="Times New Roman"/>
          <w:b/>
          <w:sz w:val="28"/>
        </w:rPr>
        <w:t>BiTA Service Management</w:t>
      </w:r>
    </w:p>
    <w:p w:rsidR="00C701E1" w:rsidRDefault="00C701E1" w:rsidP="00C701E1">
      <w:pPr>
        <w:spacing w:after="0" w:line="240" w:lineRule="auto"/>
        <w:ind w:firstLine="360"/>
        <w:rPr>
          <w:rFonts w:ascii="Calibri" w:eastAsia="Calibri" w:hAnsi="Calibri" w:cs="Times New Roman"/>
          <w:sz w:val="24"/>
        </w:rPr>
      </w:pPr>
      <w:r w:rsidRPr="00C701E1">
        <w:rPr>
          <w:rFonts w:ascii="Calibri" w:eastAsia="Calibri" w:hAnsi="Calibri" w:cs="Times New Roman"/>
          <w:sz w:val="24"/>
        </w:rPr>
        <w:t>Stockholm – Göteborg – Malmö</w:t>
      </w:r>
    </w:p>
    <w:p w:rsidR="001555B7" w:rsidRPr="00C705EC" w:rsidRDefault="00C701E1" w:rsidP="00C705EC">
      <w:pPr>
        <w:spacing w:after="0" w:line="240" w:lineRule="auto"/>
        <w:ind w:firstLine="360"/>
        <w:rPr>
          <w:rFonts w:ascii="Calibri" w:eastAsia="Calibri" w:hAnsi="Calibri" w:cs="Times New Roman"/>
          <w:b/>
          <w:sz w:val="24"/>
        </w:rPr>
      </w:pPr>
      <w:r w:rsidRPr="00C701E1">
        <w:rPr>
          <w:rFonts w:ascii="Calibri" w:eastAsia="Calibri" w:hAnsi="Calibri" w:cs="Times New Roman"/>
          <w:b/>
          <w:sz w:val="32"/>
        </w:rPr>
        <w:t>www.bita.eu</w:t>
      </w:r>
    </w:p>
    <w:sectPr w:rsidR="001555B7" w:rsidRPr="00C705EC" w:rsidSect="003A65EB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78F5"/>
    <w:multiLevelType w:val="hybridMultilevel"/>
    <w:tmpl w:val="3A1CA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E6B53"/>
    <w:multiLevelType w:val="hybridMultilevel"/>
    <w:tmpl w:val="2466C27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15273"/>
    <w:multiLevelType w:val="hybridMultilevel"/>
    <w:tmpl w:val="953C8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E1"/>
    <w:rsid w:val="0000213C"/>
    <w:rsid w:val="001555B7"/>
    <w:rsid w:val="001B141F"/>
    <w:rsid w:val="001E15E9"/>
    <w:rsid w:val="003A65EB"/>
    <w:rsid w:val="004B7DA0"/>
    <w:rsid w:val="004C24DA"/>
    <w:rsid w:val="007D6FBC"/>
    <w:rsid w:val="007E7A19"/>
    <w:rsid w:val="008B1374"/>
    <w:rsid w:val="00BC089B"/>
    <w:rsid w:val="00C701E1"/>
    <w:rsid w:val="00C705EC"/>
    <w:rsid w:val="00DD1153"/>
    <w:rsid w:val="00E00239"/>
    <w:rsid w:val="00FA0DFD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4E1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555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70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4E1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555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70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 Letsjö - BiTA</dc:creator>
  <cp:lastModifiedBy>Kaj Westin - BiTA</cp:lastModifiedBy>
  <cp:revision>2</cp:revision>
  <cp:lastPrinted>2013-01-14T09:01:00Z</cp:lastPrinted>
  <dcterms:created xsi:type="dcterms:W3CDTF">2013-01-14T15:20:00Z</dcterms:created>
  <dcterms:modified xsi:type="dcterms:W3CDTF">2013-01-14T15:20:00Z</dcterms:modified>
</cp:coreProperties>
</file>